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42884F9" w:rsidR="006604E6" w:rsidRDefault="00DC135F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English Language Arts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856531F" w:rsidR="006604E6" w:rsidRDefault="00DC135F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62A721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C6B8D32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47EDB5C2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52981AD4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24FF6D06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__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>
        <w:rPr>
          <w:rFonts w:ascii="Open Sans Light" w:eastAsia="Open Sans Light" w:hAnsi="Open Sans Light" w:cs="Open Sans Light"/>
          <w:sz w:val="22"/>
          <w:szCs w:val="22"/>
        </w:rPr>
        <w:t>Initial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159CC2F2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Grade levels for which candidates are being prepared:</w:t>
      </w:r>
      <w:r w:rsidR="00C329E8">
        <w:rPr>
          <w:rFonts w:ascii="Open Sans Light" w:eastAsia="Open Sans Light" w:hAnsi="Open Sans Light" w:cs="Open Sans Light"/>
          <w:b/>
          <w:sz w:val="22"/>
          <w:szCs w:val="22"/>
        </w:rPr>
        <w:t xml:space="preserve"> </w:t>
      </w:r>
    </w:p>
    <w:p w14:paraId="00000016" w14:textId="50A51D33" w:rsidR="006604E6" w:rsidRDefault="008B378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5167B4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DC135F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3747D363" w:rsidR="006604E6" w:rsidRDefault="008B3782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>New Program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  <w:r w:rsidR="004440E7">
        <w:rPr>
          <w:rFonts w:ascii="Open Sans Light" w:eastAsia="Open Sans Light" w:hAnsi="Open Sans Light" w:cs="Open Sans Light"/>
          <w:sz w:val="22"/>
          <w:szCs w:val="22"/>
        </w:rPr>
        <w:t>Continued Program</w:t>
      </w:r>
      <w:r w:rsidR="00C329E8">
        <w:rPr>
          <w:rFonts w:ascii="Open Sans Light" w:eastAsia="Open Sans Light" w:hAnsi="Open Sans Light" w:cs="Open Sans Light"/>
          <w:sz w:val="22"/>
          <w:szCs w:val="22"/>
        </w:rPr>
        <w:t xml:space="preserve">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1821276" w14:textId="77777777" w:rsidR="005067C7" w:rsidRPr="000D3AF2" w:rsidRDefault="005067C7" w:rsidP="005067C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168564E3" w14:textId="77777777" w:rsidR="008B3782" w:rsidRDefault="008B3782" w:rsidP="008B3782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16DF67A9" w:rsidR="006604E6" w:rsidRDefault="00C329E8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English Language Arts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4160D068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1: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7" w14:textId="6841DA4E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demonstrate knowledge of English language arts subject matter content that specifically includes literature and multimedia texts as well as knowledge of the nature of adolescents as readers.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2A8C33B0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2: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9" w14:textId="3A27F91A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demonstrate knowledge of English language arts subject matter content that specifically includes language and writing as well as knowledge of adolescents as language users.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DC73011" w14:textId="77777777" w:rsidR="005067C7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3: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B" w14:textId="5FA7A739" w:rsidR="001548B9" w:rsidRDefault="00C329E8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 instruction and design assessments for reading and the study of literature to promote learning for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166DA259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4:</w:t>
            </w: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</w:t>
            </w:r>
          </w:p>
          <w:p w14:paraId="0000004D" w14:textId="1D8BC768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 instruction and design assessments for composing texts (i.e. oral, written, and visual) to promote learning for all students.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3B467224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</w:t>
            </w:r>
          </w:p>
          <w:p w14:paraId="0000004F" w14:textId="06F9E157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plan, implement, assess, and reflect on research-based instruction that responds to students’ diverse context-based needs.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3DCF0FF4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6: </w:t>
            </w:r>
          </w:p>
          <w:p w14:paraId="00000051" w14:textId="18959703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teachers of English language arts 6-12 use knowledge of theories and research about social justice, diversity, equity, and student identities to enhance students’ opportunities to learn in English Language Arts.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66833FBA" w14:textId="77777777" w:rsidR="005067C7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</w:t>
            </w:r>
          </w:p>
          <w:p w14:paraId="00000053" w14:textId="4BA3D084" w:rsidR="006604E6" w:rsidRDefault="00C329E8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teachers of English language arts 6-12 are prepared to interact and collaborate </w:t>
            </w:r>
            <w:r w:rsidRPr="00C329E8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knowledgeably with students, families, and colleagues, and actively develop as professional educators.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1A669A17" w14:textId="77777777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Science of Reading objectives</w:t>
            </w:r>
          </w:p>
          <w:p w14:paraId="6D3225B1" w14:textId="77777777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1) </w:t>
            </w: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ab/>
              <w:t>Understand the four-part processing system of proficient reading and writing.</w:t>
            </w:r>
          </w:p>
          <w:p w14:paraId="37DCE020" w14:textId="77777777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2) </w:t>
            </w: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ab/>
              <w:t>Identify and explain aspects of cognition and behavior that affect reading and writing development.</w:t>
            </w:r>
          </w:p>
          <w:p w14:paraId="2F8F09F6" w14:textId="77777777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3) </w:t>
            </w: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ab/>
              <w:t>Explain major research findings (i.e., The Simple View of Reading, Scarborough's Rope) regarding the contribution of linguistic and cognitive factors to the prediction of literacy outcomes.</w:t>
            </w:r>
          </w:p>
          <w:p w14:paraId="1D7DF025" w14:textId="77777777" w:rsidR="005F355A" w:rsidRPr="005F355A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4) </w:t>
            </w: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ab/>
              <w:t>Understand/apply in practice the general principles of structured literacy teaching, including explicit, systematic, cumulative, teacher-directed instruction.</w:t>
            </w:r>
          </w:p>
          <w:p w14:paraId="00000055" w14:textId="037283C0" w:rsidR="006604E6" w:rsidRDefault="005F355A" w:rsidP="005F3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5) </w:t>
            </w:r>
            <w:r w:rsidRPr="005F355A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ab/>
              <w:t>Understand that higher levels of literacy include syntax, paragraph organization, and discourse structure.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5430B25D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8B378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D6B2C73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1</w:t>
            </w: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:</w:t>
            </w:r>
            <w:r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6F" w14:textId="738055DE" w:rsidR="006604E6" w:rsidRPr="007F1B6D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demonstrate knowledge of English language arts subject matter content that specifically includes literature and multimedia texts as well as knowledge of the nature of adolescents as readers.</w:t>
            </w:r>
          </w:p>
          <w:p w14:paraId="00000070" w14:textId="77777777" w:rsidR="006604E6" w:rsidRPr="007F1B6D" w:rsidRDefault="006604E6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8B3782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753415B6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2:</w:t>
            </w:r>
            <w:r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0000007A" w14:textId="3394F97E" w:rsidR="006604E6" w:rsidRPr="007F1B6D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C329E8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demonstrate knowledge of English language arts subject matter content that specifically includes language and writing as well as knowledge of adolescents as language users.</w:t>
            </w:r>
          </w:p>
          <w:p w14:paraId="0000007B" w14:textId="77777777" w:rsidR="006604E6" w:rsidRPr="007F1B6D" w:rsidRDefault="006604E6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8B3782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5067C7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5067C7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B4D2D8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3CB39FB6" w14:textId="77777777" w:rsidTr="00B6482B">
        <w:tc>
          <w:tcPr>
            <w:tcW w:w="9360" w:type="dxa"/>
          </w:tcPr>
          <w:p w14:paraId="15172279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3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0AD9453B" w14:textId="6A31D722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 instruction and design assessments for reading and the study of literature to promote learning for all students.</w:t>
            </w:r>
          </w:p>
          <w:p w14:paraId="4C41952A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B0456F6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97A1CE7" w14:textId="4F83B77F" w:rsidR="00C329E8" w:rsidRPr="005067C7" w:rsidRDefault="00C329E8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202E222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AA0419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36EAA9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72841D54" w14:textId="77777777" w:rsidTr="00B6482B">
        <w:tc>
          <w:tcPr>
            <w:tcW w:w="9360" w:type="dxa"/>
          </w:tcPr>
          <w:p w14:paraId="67454DE5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4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43D51DDA" w14:textId="0B2360CD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 instruction and design assessments for composing texts (i.e. oral, written, and visual) to promote learning for all students.</w:t>
            </w:r>
          </w:p>
          <w:p w14:paraId="61E70078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609F859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B1DD513" w14:textId="77777777" w:rsidR="00C329E8" w:rsidRPr="005067C7" w:rsidRDefault="008B3782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27369061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1662137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6152501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6545F80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40C0B5E7" w14:textId="77777777" w:rsidTr="00B6482B">
        <w:tc>
          <w:tcPr>
            <w:tcW w:w="9360" w:type="dxa"/>
          </w:tcPr>
          <w:p w14:paraId="30C356D3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5: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</w:p>
          <w:p w14:paraId="2DE083D9" w14:textId="68CA3796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plan, implement, assess, and reflect on research-based instruction that responds to students’ diverse context-based needs.</w:t>
            </w:r>
          </w:p>
          <w:p w14:paraId="192EE736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768D21E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441F0D4" w14:textId="77777777" w:rsidR="00C329E8" w:rsidRPr="005067C7" w:rsidRDefault="008B3782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41710768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C0F444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0BBE83C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E9941E7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67D5435A" w14:textId="77777777" w:rsidTr="00B6482B">
        <w:tc>
          <w:tcPr>
            <w:tcW w:w="9360" w:type="dxa"/>
          </w:tcPr>
          <w:p w14:paraId="3DABF4AE" w14:textId="77777777" w:rsidR="00E3466F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6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08823834" w14:textId="50E6B49E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teachers of English language arts 6-12 use knowledge of theories and research about social justice, diversity, equity, and student identities to enhance students’ opportunities to learn in English Language Arts.</w:t>
            </w:r>
          </w:p>
          <w:p w14:paraId="06B2CAFB" w14:textId="77777777" w:rsidR="00C329E8" w:rsidRPr="005067C7" w:rsidRDefault="00C329E8" w:rsidP="005067C7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421B97B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14F3C9D" w14:textId="77777777" w:rsidR="00C329E8" w:rsidRPr="005067C7" w:rsidRDefault="008B3782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737590077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B85B83F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3FA3FF2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84" w14:textId="77777777" w:rsidR="006604E6" w:rsidRPr="005067C7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329E8" w:rsidRPr="005067C7" w14:paraId="607F287C" w14:textId="77777777" w:rsidTr="00B6482B">
        <w:tc>
          <w:tcPr>
            <w:tcW w:w="9360" w:type="dxa"/>
          </w:tcPr>
          <w:p w14:paraId="28A766FE" w14:textId="77777777" w:rsidR="00E3466F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7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: </w:t>
            </w:r>
          </w:p>
          <w:p w14:paraId="223CCFCB" w14:textId="08D6848A" w:rsidR="00C329E8" w:rsidRPr="005067C7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lastRenderedPageBreak/>
              <w:t>The teachers of English language arts 6-12 are prepared to interact and collaborate knowledgeably with students, families, and colleagues, and actively develop as professional educators.</w:t>
            </w:r>
          </w:p>
          <w:p w14:paraId="0A676EFE" w14:textId="77777777" w:rsidR="00C329E8" w:rsidRPr="005067C7" w:rsidRDefault="00C329E8" w:rsidP="00C329E8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11FC50F4" w14:textId="77777777" w:rsidR="00C329E8" w:rsidRPr="005067C7" w:rsidRDefault="00C329E8" w:rsidP="00B6482B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BA4895" w14:textId="77777777" w:rsidR="00C329E8" w:rsidRPr="005067C7" w:rsidRDefault="008B3782" w:rsidP="00B6482B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477883116"/>
              </w:sdtPr>
              <w:sdtEndPr/>
              <w:sdtContent/>
            </w:sdt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9410B45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F5A10F6" w14:textId="77777777" w:rsidR="00C329E8" w:rsidRPr="005067C7" w:rsidRDefault="00C329E8" w:rsidP="00C329E8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85" w14:textId="77777777" w:rsidR="006604E6" w:rsidRPr="005067C7" w:rsidRDefault="006604E6">
      <w:pPr>
        <w:rPr>
          <w:rFonts w:ascii="Open Sans Light" w:eastAsia="Open Sans Light" w:hAnsi="Open Sans Light" w:cs="Open Sans Light"/>
          <w:b/>
          <w:sz w:val="22"/>
          <w:szCs w:val="22"/>
          <w:highlight w:val="yellow"/>
        </w:rPr>
      </w:pPr>
    </w:p>
    <w:tbl>
      <w:tblPr>
        <w:tblStyle w:val="af8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5067C7" w14:paraId="4F07CBED" w14:textId="77777777">
        <w:tc>
          <w:tcPr>
            <w:tcW w:w="9360" w:type="dxa"/>
          </w:tcPr>
          <w:p w14:paraId="00000086" w14:textId="77777777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Science of Reading objectives: </w:t>
            </w:r>
          </w:p>
          <w:p w14:paraId="00000087" w14:textId="21BDCC7B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1)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the four-part processing system of proficient reading and writing.</w:t>
            </w:r>
          </w:p>
          <w:p w14:paraId="00000088" w14:textId="68AD3E6E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2)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Identify and explain aspects of cognition and behavior that affect reading and writing development.</w:t>
            </w:r>
          </w:p>
          <w:p w14:paraId="00000089" w14:textId="2DC079A6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3)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Explain major research findings (i.e., The Simple View of Reading, Scarborough's Rope) regarding the contribution of linguistic and cognitive factors to the prediction of literacy outcomes.</w:t>
            </w:r>
          </w:p>
          <w:p w14:paraId="0000008A" w14:textId="597E8229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4)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Understand/apply in practice the general principles of structured literacy teaching, including explicit, systematic, cumulative, teacher-directed instruction.</w:t>
            </w:r>
          </w:p>
          <w:p w14:paraId="0000008B" w14:textId="6E4A50DA" w:rsidR="006604E6" w:rsidRPr="005067C7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5)</w:t>
            </w:r>
            <w:r w:rsidR="00C329E8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</w:t>
            </w:r>
            <w:r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ab/>
              <w:t>Understand that higher levels of literacy include syntax, paragraph organization, and discourse structure.</w:t>
            </w:r>
          </w:p>
          <w:p w14:paraId="0000008C" w14:textId="77777777" w:rsidR="006604E6" w:rsidRPr="005067C7" w:rsidRDefault="00660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FADD6FD" w14:textId="77777777" w:rsidR="004440E7" w:rsidRPr="005067C7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5067C7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B1D5565" w14:textId="77777777" w:rsidR="004440E7" w:rsidRPr="005067C7" w:rsidRDefault="004440E7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93" w14:textId="4F61C0FB" w:rsidR="006604E6" w:rsidRPr="005067C7" w:rsidRDefault="008B3782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2002452"/>
              </w:sdtPr>
              <w:sdtEndPr/>
              <w:sdtContent/>
            </w:sdt>
            <w:r w:rsidR="004440E7" w:rsidRPr="005067C7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71EB3D7" w14:textId="77777777" w:rsidR="004440E7" w:rsidRPr="005167B4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64B42D82" w14:textId="0E3747D8" w:rsidR="00AA1246" w:rsidRPr="005067C7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5067C7">
        <w:rPr>
          <w:rFonts w:ascii="Open Sans Light" w:eastAsia="Open Sans Light" w:hAnsi="Open Sans Light" w:cs="Open Sans Light"/>
          <w:b/>
          <w:sz w:val="22"/>
          <w:szCs w:val="22"/>
        </w:rPr>
        <w:t>__ Course syllabi and/or assessment rubrics are included.</w:t>
      </w:r>
    </w:p>
    <w:p w14:paraId="6FAEAAB8" w14:textId="77777777" w:rsidR="00AA1246" w:rsidRPr="005067C7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 w:rsidRPr="005067C7"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 w:rsidRPr="005067C7">
        <w:rPr>
          <w:rFonts w:ascii="Open Sans Light" w:eastAsia="Open Sans Light" w:hAnsi="Open Sans Light" w:cs="Open Sans Light"/>
          <w:sz w:val="16"/>
          <w:szCs w:val="16"/>
        </w:rPr>
        <w:t>2024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C" w14:textId="1E1203CD" w:rsidR="006604E6" w:rsidRPr="00EB4587" w:rsidRDefault="00DC135F" w:rsidP="00EB45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English Language Arts 6-12, 2015</w:t>
    </w:r>
    <w:r w:rsidR="004440E7">
      <w:rPr>
        <w:b/>
        <w:color w:val="000000"/>
      </w:rPr>
      <w:t xml:space="preserve"> </w:t>
    </w:r>
    <w:r w:rsidR="005067C7">
      <w:rPr>
        <w:b/>
        <w:color w:val="000000"/>
      </w:rPr>
      <w:t>s</w:t>
    </w:r>
    <w:r w:rsidR="004440E7">
      <w:rPr>
        <w:b/>
        <w:color w:val="000000"/>
      </w:rPr>
      <w:t>tandards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42E2F"/>
    <w:rsid w:val="004440E7"/>
    <w:rsid w:val="00484707"/>
    <w:rsid w:val="004944DB"/>
    <w:rsid w:val="005067C7"/>
    <w:rsid w:val="005167B4"/>
    <w:rsid w:val="005F355A"/>
    <w:rsid w:val="00641BCC"/>
    <w:rsid w:val="006604E6"/>
    <w:rsid w:val="007F1B6D"/>
    <w:rsid w:val="008B3782"/>
    <w:rsid w:val="008E3C49"/>
    <w:rsid w:val="00AA1246"/>
    <w:rsid w:val="00BC5058"/>
    <w:rsid w:val="00BD7C64"/>
    <w:rsid w:val="00C329E8"/>
    <w:rsid w:val="00C762F4"/>
    <w:rsid w:val="00CB2464"/>
    <w:rsid w:val="00CF68AC"/>
    <w:rsid w:val="00D03356"/>
    <w:rsid w:val="00D13CC9"/>
    <w:rsid w:val="00DC135F"/>
    <w:rsid w:val="00DD1645"/>
    <w:rsid w:val="00E3466F"/>
    <w:rsid w:val="00EB4587"/>
    <w:rsid w:val="00ED382E"/>
    <w:rsid w:val="00EE755B"/>
    <w:rsid w:val="00F212D3"/>
    <w:rsid w:val="00F97C06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11</cp:revision>
  <dcterms:created xsi:type="dcterms:W3CDTF">2024-09-25T16:47:00Z</dcterms:created>
  <dcterms:modified xsi:type="dcterms:W3CDTF">2025-04-09T15:44:00Z</dcterms:modified>
</cp:coreProperties>
</file>